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60777DB0" w:rsidR="00081B7F" w:rsidRPr="00620073" w:rsidRDefault="00081B7F" w:rsidP="00085137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085137" w:rsidRPr="0008513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204"/>
        <w:gridCol w:w="7284"/>
      </w:tblGrid>
      <w:tr w:rsidR="00332D82" w14:paraId="5AA6B527" w14:textId="77777777" w:rsidTr="003A3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30A1E31" w14:textId="420D4C6A" w:rsidR="00332D82" w:rsidRPr="00024F59" w:rsidRDefault="00085137" w:rsidP="00024F59">
            <w:pPr>
              <w:bidi/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color w:val="000000" w:themeColor="text1"/>
                <w:sz w:val="24"/>
                <w:szCs w:val="24"/>
              </w:rPr>
              <w:t>Master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of Science in Public Health &amp; Preventive Medicine</w:t>
            </w:r>
            <w:r w:rsidR="00024F59">
              <w:rPr>
                <w:color w:val="000000" w:themeColor="text1"/>
                <w:sz w:val="24"/>
                <w:szCs w:val="24"/>
              </w:rPr>
              <w:t>.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(PUB 500)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8807F72" w14:textId="78FE9234" w:rsidR="00332D82" w:rsidRPr="00024F59" w:rsidRDefault="00024F59" w:rsidP="00024F59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024F59">
              <w:rPr>
                <w:color w:val="000000" w:themeColor="text1"/>
                <w:sz w:val="24"/>
                <w:szCs w:val="24"/>
              </w:rPr>
              <w:t>40 credit hours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3A3FE7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0AB0C4D" w14:textId="0AD3C378" w:rsidR="00332D82" w:rsidRPr="007C2424" w:rsidRDefault="00024F59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8 courses.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69F78D47" w14:textId="77777777" w:rsidR="00024F59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>4 semesters.</w:t>
            </w:r>
          </w:p>
          <w:p w14:paraId="1CF0C5A4" w14:textId="77777777" w:rsidR="00024F59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 xml:space="preserve"> </w:t>
            </w: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1 </w:t>
            </w:r>
            <w:proofErr w:type="spellStart"/>
            <w:r w:rsidRPr="00024F59">
              <w:rPr>
                <w:color w:val="000000" w:themeColor="text1"/>
                <w:sz w:val="22"/>
              </w:rPr>
              <w:t>st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One semester (6 months). </w:t>
            </w:r>
          </w:p>
          <w:p w14:paraId="21DB50DD" w14:textId="58F3D2F4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024F59">
              <w:rPr>
                <w:color w:val="000000" w:themeColor="text1"/>
                <w:sz w:val="22"/>
              </w:rPr>
              <w:t>nd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Three semesters (1.5 year)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3A3FE7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26EE444" w14:textId="34A354A7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>Microbiology and Immunology, Parasitology and Neuropsychiatry.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16B58B2C" w14:textId="70248EE8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F</w:t>
            </w:r>
            <w:r w:rsidRPr="00024F59">
              <w:rPr>
                <w:color w:val="000000" w:themeColor="text1"/>
                <w:sz w:val="22"/>
              </w:rPr>
              <w:t>aculty of medicine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3A3F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993D958" w14:textId="6330A587" w:rsidR="00332D82" w:rsidRPr="007C2424" w:rsidRDefault="00024F59" w:rsidP="00AF1414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Benha University.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3A3FE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390D36D4" w14:textId="3BDDC980" w:rsidR="00332D82" w:rsidRPr="007C2424" w:rsidRDefault="0064210F" w:rsidP="0064210F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 w:rsidRPr="0064210F">
              <w:rPr>
                <w:color w:val="000000" w:themeColor="text1"/>
                <w:sz w:val="22"/>
              </w:rPr>
              <w:t xml:space="preserve">Prof. </w:t>
            </w:r>
            <w:proofErr w:type="spellStart"/>
            <w:r w:rsidRPr="0064210F">
              <w:rPr>
                <w:color w:val="000000" w:themeColor="text1"/>
                <w:sz w:val="22"/>
              </w:rPr>
              <w:t>Soaad</w:t>
            </w:r>
            <w:proofErr w:type="spellEnd"/>
            <w:r w:rsidRPr="0064210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64210F">
              <w:rPr>
                <w:color w:val="000000" w:themeColor="text1"/>
                <w:sz w:val="22"/>
              </w:rPr>
              <w:t>Darwish</w:t>
            </w:r>
            <w:proofErr w:type="spellEnd"/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3A3FE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9BEE224" w14:textId="4FCB324A" w:rsidR="00332D82" w:rsidRPr="007C2424" w:rsidRDefault="00085137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13-10-2025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3A3FE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B59B4C9" w14:textId="3F04A9AF" w:rsidR="00332D82" w:rsidRPr="001B7BFE" w:rsidRDefault="00085137" w:rsidP="00AF1414">
            <w:pPr>
              <w:spacing w:line="240" w:lineRule="auto"/>
              <w:rPr>
                <w:sz w:val="22"/>
                <w:rtl/>
              </w:rPr>
            </w:pPr>
            <w:r>
              <w:rPr>
                <w:sz w:val="22"/>
              </w:rPr>
              <w:t>15-10-2025</w:t>
            </w:r>
            <w:bookmarkStart w:id="0" w:name="_GoBack"/>
            <w:bookmarkEnd w:id="0"/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1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1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2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3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3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4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4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5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5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AA5F53E" w:rsidR="00332D82" w:rsidRPr="005359CB" w:rsidRDefault="003A3FE7" w:rsidP="00D77085">
      <w:pPr>
        <w:bidi/>
        <w:ind w:right="-567"/>
        <w:rPr>
          <w:b/>
          <w:bCs/>
          <w:sz w:val="36"/>
          <w:szCs w:val="28"/>
        </w:rPr>
      </w:pPr>
      <w:r w:rsidRPr="005359CB">
        <w:rPr>
          <w:b/>
          <w:bCs/>
          <w:sz w:val="36"/>
          <w:szCs w:val="28"/>
        </w:rPr>
        <w:t xml:space="preserve">     </w:t>
      </w:r>
      <w:r w:rsidRPr="005359CB">
        <w:rPr>
          <w:b/>
          <w:bCs/>
          <w:color w:val="000000" w:themeColor="text1"/>
          <w:szCs w:val="28"/>
        </w:rPr>
        <w:t xml:space="preserve">Prof. </w:t>
      </w:r>
      <w:proofErr w:type="spellStart"/>
      <w:r w:rsidRPr="005359CB">
        <w:rPr>
          <w:b/>
          <w:bCs/>
          <w:color w:val="000000" w:themeColor="text1"/>
          <w:szCs w:val="28"/>
        </w:rPr>
        <w:t>Soaad</w:t>
      </w:r>
      <w:proofErr w:type="spellEnd"/>
      <w:r w:rsidRPr="005359CB">
        <w:rPr>
          <w:b/>
          <w:bCs/>
          <w:color w:val="000000" w:themeColor="text1"/>
          <w:szCs w:val="28"/>
        </w:rPr>
        <w:t xml:space="preserve"> </w:t>
      </w:r>
      <w:proofErr w:type="spellStart"/>
      <w:r w:rsidRPr="005359CB">
        <w:rPr>
          <w:b/>
          <w:bCs/>
          <w:color w:val="000000" w:themeColor="text1"/>
          <w:szCs w:val="28"/>
        </w:rPr>
        <w:t>Darwish</w:t>
      </w:r>
      <w:proofErr w:type="spellEnd"/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                     </w:t>
      </w:r>
      <w:r w:rsidR="00D77085">
        <w:rPr>
          <w:b/>
          <w:bCs/>
          <w:color w:val="000000" w:themeColor="text1"/>
          <w:szCs w:val="28"/>
        </w:rPr>
        <w:t xml:space="preserve">prof. Omayma Mahmoud  </w:t>
      </w:r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</w:t>
      </w:r>
    </w:p>
    <w:sectPr w:rsidR="00332D82" w:rsidRPr="005359CB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79A1" w14:textId="77777777" w:rsidR="006F6001" w:rsidRDefault="006F6001" w:rsidP="00E46F9E">
      <w:pPr>
        <w:spacing w:after="0" w:line="240" w:lineRule="auto"/>
      </w:pPr>
      <w:r>
        <w:separator/>
      </w:r>
    </w:p>
  </w:endnote>
  <w:endnote w:type="continuationSeparator" w:id="0">
    <w:p w14:paraId="4183F5D0" w14:textId="77777777" w:rsidR="006F6001" w:rsidRDefault="006F600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96C" w14:textId="61DC9D73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539E7"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4FFC0A40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97B8" w14:textId="77777777" w:rsidR="006F6001" w:rsidRDefault="006F6001" w:rsidP="00E46F9E">
      <w:pPr>
        <w:spacing w:after="0" w:line="240" w:lineRule="auto"/>
      </w:pPr>
      <w:r>
        <w:separator/>
      </w:r>
    </w:p>
  </w:footnote>
  <w:footnote w:type="continuationSeparator" w:id="0">
    <w:p w14:paraId="1EA52C4A" w14:textId="77777777" w:rsidR="006F6001" w:rsidRDefault="006F600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4F59"/>
    <w:rsid w:val="00026555"/>
    <w:rsid w:val="00074239"/>
    <w:rsid w:val="0007576A"/>
    <w:rsid w:val="000767BE"/>
    <w:rsid w:val="000805DF"/>
    <w:rsid w:val="00081B7F"/>
    <w:rsid w:val="00085137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A3FE7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359C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4210F"/>
    <w:rsid w:val="00643E4B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6F6001"/>
    <w:rsid w:val="007020D9"/>
    <w:rsid w:val="0071461B"/>
    <w:rsid w:val="007154DB"/>
    <w:rsid w:val="00724D3A"/>
    <w:rsid w:val="00725FE9"/>
    <w:rsid w:val="00726CA5"/>
    <w:rsid w:val="00742C73"/>
    <w:rsid w:val="007539E7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849B2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7708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562</Words>
  <Characters>8145</Characters>
  <Application>Microsoft Office Word</Application>
  <DocSecurity>0</DocSecurity>
  <Lines>294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Mayar</cp:lastModifiedBy>
  <cp:revision>6</cp:revision>
  <cp:lastPrinted>2025-06-30T12:14:00Z</cp:lastPrinted>
  <dcterms:created xsi:type="dcterms:W3CDTF">2025-06-30T13:25:00Z</dcterms:created>
  <dcterms:modified xsi:type="dcterms:W3CDTF">2025-08-27T17:28:00Z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6ab2209c-2304-4152-bf60-feba2fcdfa52</vt:lpwstr>
  </property>
</Properties>
</file>